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Turtle Cameron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36" w:lineRule="auto"/>
        <w:rPr>
          <w:sz w:val="20"/>
          <w:szCs w:val="20"/>
          <w:color w:val="auto"/>
        </w:rPr>
      </w:pPr>
      <w:r>
        <w:rPr>
          <w:rFonts w:ascii="Times New Roman" w:cs="Times New Roman" w:eastAsia="Times New Roman" w:hAnsi="Times New Roman"/>
          <w:sz w:val="17"/>
          <w:szCs w:val="17"/>
          <w:color w:val="0000FF"/>
        </w:rPr>
        <w:t>221 CRESCENT STREET, BUILDING 23, SUITE 105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Spyre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10,176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587,364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4,234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88.12</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583,130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88.91</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582,540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June 20,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$86.82 to $87.81, inclusive. The Reporting Person undertakes to provide to the Issuer, any security holder of the Issuer, or the staff of the Securities and Exchange Commission (the "SEC"),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72,623 shares of common stock that vest in monthly installments through November 2026, subject to the continuing service of the Reporting Person on each vesting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$87.82 to $88.75, inclusive. The Reporting Person undertakes to provide to the Issuer, any security holder of the Issuer, or the staff of the SEC,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$88.86 to $88.98, inclusive. The Reporting Person undertakes to provide to the Issuer, any security holder of the Issuer, or the staff of the SEC, upon request, full information regarding the number of shares sold at each separate price within the range.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Heidy King-Jones,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8363"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2026-07-02T20:33:06Z</dcterms:created>
  <dcterms:modified xsi:type="dcterms:W3CDTF">2026-07-02T20:33:06Z</dcterms:modified>
</cp:coreProperties>
</file>