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5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Burrows Scott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20"/>
        <w:spacing w:after="0" w:line="310"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0" w:lineRule="exact"/>
        <w:rPr>
          <w:sz w:val="24"/>
          <w:szCs w:val="24"/>
          <w:color w:val="auto"/>
        </w:rPr>
      </w:pPr>
    </w:p>
    <w:p>
      <w:pPr>
        <w:sectPr>
          <w:pgSz w:w="11900" w:h="16838" w:orient="portrait"/>
          <w:cols w:equalWidth="0" w:num="3">
            <w:col w:w="3200" w:space="720"/>
            <w:col w:w="3103" w:space="720"/>
            <w:col w:w="3337"/>
          </w:cols>
          <w:pgMar w:left="460" w:top="216" w:right="359" w:bottom="597"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7,500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105,494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5,775</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87.55</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99,719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1,725</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88.37</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5"/>
              </w:rPr>
              <w:t>97,994</w:t>
            </w:r>
            <w:r>
              <w:rPr>
                <w:rFonts w:ascii="Times New Roman" w:cs="Times New Roman" w:eastAsia="Times New Roman" w:hAnsi="Times New Roman"/>
                <w:sz w:val="21"/>
                <w:szCs w:val="21"/>
                <w:color w:val="008000"/>
                <w:w w:val="95"/>
                <w:vertAlign w:val="superscript"/>
              </w:rPr>
              <w:t>(4)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7,500</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09/01/2033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99"/>
              </w:rPr>
              <w:t>352,357</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November 10, 2025.</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$87.13 to $88.05,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$88.17 to $89.01, inclusive. The Reporting Person undertakes to provide to the Issuer, any security holder of the Issuer, or the staff of the SEC,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67,476 restricted stock units ("RSUs"). Each RSU represents a contingent right to receive, upon vesting, one share of Common Stock. The RSUs vest in two equal installments on each of September 1, 2026 and 2027, subject to the Reporting Person's continued employment with the Issuer.</w:t>
      </w:r>
    </w:p>
    <w:p>
      <w:pPr>
        <w:spacing w:after="0" w:line="16" w:lineRule="exact"/>
        <w:rPr>
          <w:rFonts w:ascii="Times New Roman" w:cs="Times New Roman" w:eastAsia="Times New Roman" w:hAnsi="Times New Roman"/>
          <w:sz w:val="13"/>
          <w:szCs w:val="13"/>
          <w:color w:val="008000"/>
        </w:rPr>
      </w:pPr>
    </w:p>
    <w:p>
      <w:pPr>
        <w:ind w:left="40" w:right="4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404,857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Heidy King-Jones, as</w:t>
            </w:r>
          </w:p>
        </w:tc>
        <w:tc>
          <w:tcPr>
            <w:tcW w:w="38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3327"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2026-07-02T20:34:40Z</dcterms:created>
  <dcterms:modified xsi:type="dcterms:W3CDTF">2026-07-02T20:34:40Z</dcterms:modified>
</cp:coreProperties>
</file>